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73896">
      <w:pPr>
        <w:pStyle w:val="2"/>
        <w:keepNext w:val="0"/>
        <w:keepLines w:val="0"/>
        <w:widowControl/>
        <w:suppressLineNumbers w:val="0"/>
      </w:pPr>
      <w:r>
        <w:t>Supplementary Table 1. Key physiological, laboratory, imaging, microbiological, and respiratory support findings at critical time points</w:t>
      </w:r>
    </w:p>
    <w:tbl>
      <w:tblPr>
        <w:tblW w:w="9697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59"/>
        <w:gridCol w:w="1977"/>
        <w:gridCol w:w="2886"/>
        <w:gridCol w:w="3075"/>
      </w:tblGrid>
      <w:tr w14:paraId="7227A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18070F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Date / ICU Day</w:t>
            </w:r>
          </w:p>
        </w:tc>
        <w:tc>
          <w:tcPr>
            <w:tcW w:w="1947" w:type="dxa"/>
            <w:shd w:val="clear"/>
            <w:vAlign w:val="center"/>
          </w:tcPr>
          <w:p w14:paraId="270EF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Parameter / Event</w:t>
            </w:r>
          </w:p>
        </w:tc>
        <w:tc>
          <w:tcPr>
            <w:tcW w:w="2856" w:type="dxa"/>
            <w:shd w:val="clear"/>
            <w:vAlign w:val="center"/>
          </w:tcPr>
          <w:p w14:paraId="1C65C9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Key Findings / Values</w:t>
            </w:r>
          </w:p>
        </w:tc>
        <w:tc>
          <w:tcPr>
            <w:tcW w:w="3030" w:type="dxa"/>
            <w:shd w:val="clear"/>
            <w:vAlign w:val="center"/>
          </w:tcPr>
          <w:p w14:paraId="6F6795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Notes / Management</w:t>
            </w:r>
          </w:p>
        </w:tc>
      </w:tr>
      <w:tr w14:paraId="2EECA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61EE4E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Pre-intubation</w:t>
            </w:r>
          </w:p>
        </w:tc>
        <w:tc>
          <w:tcPr>
            <w:tcW w:w="1947" w:type="dxa"/>
            <w:shd w:val="clear"/>
            <w:vAlign w:val="center"/>
          </w:tcPr>
          <w:p w14:paraId="319D5B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Oxygenation</w:t>
            </w:r>
          </w:p>
        </w:tc>
        <w:tc>
          <w:tcPr>
            <w:tcW w:w="2856" w:type="dxa"/>
            <w:shd w:val="clear"/>
            <w:vAlign w:val="center"/>
          </w:tcPr>
          <w:p w14:paraId="7B4AC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SpO₂ 81% on reservoir-mask oxygen</w:t>
            </w:r>
          </w:p>
        </w:tc>
        <w:tc>
          <w:tcPr>
            <w:tcW w:w="3030" w:type="dxa"/>
            <w:shd w:val="clear"/>
            <w:vAlign w:val="center"/>
          </w:tcPr>
          <w:p w14:paraId="526740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Emergency endotracheal intubation</w:t>
            </w:r>
          </w:p>
        </w:tc>
      </w:tr>
      <w:tr w14:paraId="79389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151681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ICU admission</w:t>
            </w:r>
          </w:p>
        </w:tc>
        <w:tc>
          <w:tcPr>
            <w:tcW w:w="1947" w:type="dxa"/>
            <w:shd w:val="clear"/>
            <w:vAlign w:val="center"/>
          </w:tcPr>
          <w:p w14:paraId="3836C7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Vital signs</w:t>
            </w:r>
          </w:p>
        </w:tc>
        <w:tc>
          <w:tcPr>
            <w:tcW w:w="2856" w:type="dxa"/>
            <w:shd w:val="clear"/>
            <w:vAlign w:val="center"/>
          </w:tcPr>
          <w:p w14:paraId="71A8F2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Temperature 39.6 °C; HR 129 beats/min; BP 89/38 mmHg</w:t>
            </w:r>
          </w:p>
        </w:tc>
        <w:tc>
          <w:tcPr>
            <w:tcW w:w="3030" w:type="dxa"/>
            <w:shd w:val="clear"/>
            <w:vAlign w:val="center"/>
          </w:tcPr>
          <w:p w14:paraId="707FEA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Septic shock</w:t>
            </w:r>
          </w:p>
        </w:tc>
      </w:tr>
      <w:tr w14:paraId="66B60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7B830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ICU admission</w:t>
            </w:r>
          </w:p>
        </w:tc>
        <w:tc>
          <w:tcPr>
            <w:tcW w:w="1947" w:type="dxa"/>
            <w:shd w:val="clear"/>
            <w:vAlign w:val="center"/>
          </w:tcPr>
          <w:p w14:paraId="32A76A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Arterial blood gas</w:t>
            </w:r>
          </w:p>
        </w:tc>
        <w:tc>
          <w:tcPr>
            <w:tcW w:w="2856" w:type="dxa"/>
            <w:shd w:val="clear"/>
            <w:vAlign w:val="center"/>
          </w:tcPr>
          <w:p w14:paraId="1D2237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pH 7.30; PaCO₂ 48 mmHg; PaO₂ 75 mmHg on FiO₂ 1.0; lactate 3.3 mmol/L; PaO₂/FiO₂ 75 mmHg</w:t>
            </w:r>
          </w:p>
        </w:tc>
        <w:tc>
          <w:tcPr>
            <w:tcW w:w="3030" w:type="dxa"/>
            <w:shd w:val="clear"/>
            <w:vAlign w:val="center"/>
          </w:tcPr>
          <w:p w14:paraId="25A240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Severe ARDS</w:t>
            </w:r>
          </w:p>
        </w:tc>
      </w:tr>
      <w:tr w14:paraId="44C02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451EF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ICU admission</w:t>
            </w:r>
          </w:p>
        </w:tc>
        <w:tc>
          <w:tcPr>
            <w:tcW w:w="1947" w:type="dxa"/>
            <w:shd w:val="clear"/>
            <w:vAlign w:val="center"/>
          </w:tcPr>
          <w:p w14:paraId="57B97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Vasoactive support</w:t>
            </w:r>
          </w:p>
        </w:tc>
        <w:tc>
          <w:tcPr>
            <w:tcW w:w="2856" w:type="dxa"/>
            <w:shd w:val="clear"/>
            <w:vAlign w:val="center"/>
          </w:tcPr>
          <w:p w14:paraId="5B1666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Norepinephrine 0.73–0.80 μg/kg/min; epinephrine 0.18–0.20 μg/kg/min; dobutamine 12.22–13.33 μg/kg/min</w:t>
            </w:r>
          </w:p>
        </w:tc>
        <w:tc>
          <w:tcPr>
            <w:tcW w:w="3030" w:type="dxa"/>
            <w:shd w:val="clear"/>
            <w:vAlign w:val="center"/>
          </w:tcPr>
          <w:p w14:paraId="0ADAC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High-dose vasoactive support for hemodynamic instability</w:t>
            </w:r>
          </w:p>
        </w:tc>
      </w:tr>
      <w:tr w14:paraId="1712E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75CBE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2, 2024</w:t>
            </w:r>
          </w:p>
        </w:tc>
        <w:tc>
          <w:tcPr>
            <w:tcW w:w="1947" w:type="dxa"/>
            <w:shd w:val="clear"/>
            <w:vAlign w:val="center"/>
          </w:tcPr>
          <w:p w14:paraId="1C3AF0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Ventilator settings</w:t>
            </w:r>
          </w:p>
        </w:tc>
        <w:tc>
          <w:tcPr>
            <w:tcW w:w="2856" w:type="dxa"/>
            <w:shd w:val="clear"/>
            <w:vAlign w:val="center"/>
          </w:tcPr>
          <w:p w14:paraId="61BCEF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Pressure-control mode; PC 25 cmH₂O; PEEP 8.3 cmH₂O; FiO₂ 50%</w:t>
            </w:r>
          </w:p>
        </w:tc>
        <w:tc>
          <w:tcPr>
            <w:tcW w:w="3030" w:type="dxa"/>
            <w:shd w:val="clear"/>
            <w:vAlign w:val="center"/>
          </w:tcPr>
          <w:p w14:paraId="1AB3FF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After initial prone positioning</w:t>
            </w:r>
          </w:p>
        </w:tc>
      </w:tr>
      <w:tr w14:paraId="48599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23BA3D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2–4, 2024</w:t>
            </w:r>
          </w:p>
        </w:tc>
        <w:tc>
          <w:tcPr>
            <w:tcW w:w="1947" w:type="dxa"/>
            <w:shd w:val="clear"/>
            <w:vAlign w:val="center"/>
          </w:tcPr>
          <w:p w14:paraId="7C2D31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Inflammatory markers</w:t>
            </w:r>
          </w:p>
        </w:tc>
        <w:tc>
          <w:tcPr>
            <w:tcW w:w="2856" w:type="dxa"/>
            <w:shd w:val="clear"/>
            <w:vAlign w:val="center"/>
          </w:tcPr>
          <w:p w14:paraId="7EDAF5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hsCRP 351.11 mg/L on Nov 2; PCT 45.50 ng/mL and WBC 19.74 ×10⁹/L on Nov 4</w:t>
            </w:r>
          </w:p>
        </w:tc>
        <w:tc>
          <w:tcPr>
            <w:tcW w:w="3030" w:type="dxa"/>
            <w:shd w:val="clear"/>
            <w:vAlign w:val="center"/>
          </w:tcPr>
          <w:p w14:paraId="01531F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Severe systemic inflammation</w:t>
            </w:r>
          </w:p>
        </w:tc>
      </w:tr>
      <w:tr w14:paraId="35979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4A734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2–4, 2024</w:t>
            </w:r>
          </w:p>
        </w:tc>
        <w:tc>
          <w:tcPr>
            <w:tcW w:w="1947" w:type="dxa"/>
            <w:shd w:val="clear"/>
            <w:vAlign w:val="center"/>
          </w:tcPr>
          <w:p w14:paraId="32520F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Coagulation and hematology</w:t>
            </w:r>
          </w:p>
        </w:tc>
        <w:tc>
          <w:tcPr>
            <w:tcW w:w="2856" w:type="dxa"/>
            <w:shd w:val="clear"/>
            <w:vAlign w:val="center"/>
          </w:tcPr>
          <w:p w14:paraId="562888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Platelet count 74 ×10⁹/L; D-dimer 5370–6940 μg/L FEU</w:t>
            </w:r>
          </w:p>
        </w:tc>
        <w:tc>
          <w:tcPr>
            <w:tcW w:w="3030" w:type="dxa"/>
            <w:shd w:val="clear"/>
            <w:vAlign w:val="center"/>
          </w:tcPr>
          <w:p w14:paraId="79E11A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Coagulation activation during sepsis</w:t>
            </w:r>
          </w:p>
        </w:tc>
      </w:tr>
      <w:tr w14:paraId="647A4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5DD2E5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4, 2024</w:t>
            </w:r>
          </w:p>
        </w:tc>
        <w:tc>
          <w:tcPr>
            <w:tcW w:w="1947" w:type="dxa"/>
            <w:shd w:val="clear"/>
            <w:vAlign w:val="center"/>
          </w:tcPr>
          <w:p w14:paraId="290A87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Renal function</w:t>
            </w:r>
          </w:p>
        </w:tc>
        <w:tc>
          <w:tcPr>
            <w:tcW w:w="2856" w:type="dxa"/>
            <w:shd w:val="clear"/>
            <w:vAlign w:val="center"/>
          </w:tcPr>
          <w:p w14:paraId="536046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Peak creatinine 187 μmol/L</w:t>
            </w:r>
          </w:p>
        </w:tc>
        <w:tc>
          <w:tcPr>
            <w:tcW w:w="3030" w:type="dxa"/>
            <w:shd w:val="clear"/>
            <w:vAlign w:val="center"/>
          </w:tcPr>
          <w:p w14:paraId="68A7EC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Transient acute kidney injury</w:t>
            </w:r>
          </w:p>
        </w:tc>
      </w:tr>
      <w:tr w14:paraId="7C69B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7F46B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5, 2024</w:t>
            </w:r>
          </w:p>
        </w:tc>
        <w:tc>
          <w:tcPr>
            <w:tcW w:w="1947" w:type="dxa"/>
            <w:shd w:val="clear"/>
            <w:vAlign w:val="center"/>
          </w:tcPr>
          <w:p w14:paraId="74DDFC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Oxygenation and ventilator settings</w:t>
            </w:r>
          </w:p>
        </w:tc>
        <w:tc>
          <w:tcPr>
            <w:tcW w:w="2856" w:type="dxa"/>
            <w:shd w:val="clear"/>
            <w:vAlign w:val="center"/>
          </w:tcPr>
          <w:p w14:paraId="4E2CF7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PaO₂ 63 mmHg on FiO₂ 0.50; PaO₂/FiO₂ approximately 126 mmHg; PC 28 cmH₂O; PEEP 10 cmH₂O</w:t>
            </w:r>
          </w:p>
        </w:tc>
        <w:tc>
          <w:tcPr>
            <w:tcW w:w="3030" w:type="dxa"/>
            <w:shd w:val="clear"/>
            <w:vAlign w:val="center"/>
          </w:tcPr>
          <w:p w14:paraId="0F34BB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Recurrent hypoxemia prompting repeat chest CT</w:t>
            </w:r>
          </w:p>
        </w:tc>
      </w:tr>
      <w:tr w14:paraId="6886C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52397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5, 2024</w:t>
            </w:r>
          </w:p>
        </w:tc>
        <w:tc>
          <w:tcPr>
            <w:tcW w:w="1947" w:type="dxa"/>
            <w:shd w:val="clear"/>
            <w:vAlign w:val="center"/>
          </w:tcPr>
          <w:p w14:paraId="3737A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Radiological findings</w:t>
            </w:r>
          </w:p>
        </w:tc>
        <w:tc>
          <w:tcPr>
            <w:tcW w:w="2856" w:type="dxa"/>
            <w:shd w:val="clear"/>
            <w:vAlign w:val="center"/>
          </w:tcPr>
          <w:p w14:paraId="5CF916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Right hydropneumothorax with approximately 60% lung compression and partial lung destruction; left pneumothorax with approximately 30% lung compression</w:t>
            </w:r>
          </w:p>
        </w:tc>
        <w:tc>
          <w:tcPr>
            <w:tcW w:w="3030" w:type="dxa"/>
            <w:shd w:val="clear"/>
            <w:vAlign w:val="center"/>
          </w:tcPr>
          <w:p w14:paraId="365493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Bilateral pleural involvement</w:t>
            </w:r>
          </w:p>
        </w:tc>
      </w:tr>
      <w:tr w14:paraId="6431C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28A30A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5–12, 2024</w:t>
            </w:r>
          </w:p>
        </w:tc>
        <w:tc>
          <w:tcPr>
            <w:tcW w:w="1947" w:type="dxa"/>
            <w:shd w:val="clear"/>
            <w:vAlign w:val="center"/>
          </w:tcPr>
          <w:p w14:paraId="1D461B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Pleural drainage</w:t>
            </w:r>
          </w:p>
        </w:tc>
        <w:tc>
          <w:tcPr>
            <w:tcW w:w="2856" w:type="dxa"/>
            <w:shd w:val="clear"/>
            <w:vAlign w:val="center"/>
          </w:tcPr>
          <w:p w14:paraId="60C40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Persistent grade IV air leakage; purulent drainage; additional right pleural catheter placed on Nov 12</w:t>
            </w:r>
          </w:p>
        </w:tc>
        <w:tc>
          <w:tcPr>
            <w:tcW w:w="3030" w:type="dxa"/>
            <w:shd w:val="clear"/>
            <w:vAlign w:val="center"/>
          </w:tcPr>
          <w:p w14:paraId="74809E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Management of empyema and persistent air leakage</w:t>
            </w:r>
          </w:p>
        </w:tc>
      </w:tr>
      <w:tr w14:paraId="42913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714" w:type="dxa"/>
            <w:shd w:val="clear"/>
            <w:vAlign w:val="center"/>
          </w:tcPr>
          <w:p w14:paraId="74A9B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Nov 6–13, 2024</w:t>
            </w:r>
          </w:p>
        </w:tc>
        <w:tc>
          <w:tcPr>
            <w:tcW w:w="1947" w:type="dxa"/>
            <w:shd w:val="clear"/>
            <w:vAlign w:val="center"/>
          </w:tcPr>
          <w:p w14:paraId="2FC43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Microbiological results</w:t>
            </w:r>
          </w:p>
        </w:tc>
        <w:tc>
          <w:tcPr>
            <w:tcW w:w="2856" w:type="dxa"/>
            <w:shd w:val="clear"/>
            <w:vAlign w:val="center"/>
          </w:tcPr>
          <w:p w14:paraId="37A55B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MSSA isolated from blood and sputum cultures; blood cultures became negative from Nov 13 onward</w:t>
            </w:r>
          </w:p>
        </w:tc>
        <w:tc>
          <w:tcPr>
            <w:tcW w:w="3030" w:type="dxa"/>
            <w:shd w:val="clear"/>
            <w:vAlign w:val="center"/>
          </w:tcPr>
          <w:p w14:paraId="645C6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Clearance of MSSA bacteremia documented</w:t>
            </w:r>
          </w:p>
        </w:tc>
      </w:tr>
    </w:tbl>
    <w:p w14:paraId="5BF351E0">
      <w:pPr>
        <w:pStyle w:val="2"/>
        <w:keepNext w:val="0"/>
        <w:keepLines w:val="0"/>
        <w:widowControl/>
        <w:suppressLineNumbers w:val="0"/>
      </w:pPr>
      <w:r>
        <w:t xml:space="preserve">Abbreviations: ARDS, acute respiratory distress syndrome; BP, blood pressure; CT, computed tomography; FiO₂, fraction of inspired oxygen; HR, heart rate; hsCRP, high-sensitivity C-reactive protein; ICU, intensive care unit; MSSA, methicillin-susceptible </w:t>
      </w:r>
      <w:r>
        <w:rPr>
          <w:rStyle w:val="5"/>
        </w:rPr>
        <w:t>Staphylococcus aureus</w:t>
      </w:r>
      <w:r>
        <w:t>; PaCO₂, partial pressure of arterial carbon dioxide; PaO₂, partial pressure of arterial oxygen; PC, pressure control; PCT, procalcitonin; PEEP, positive end-expiratory pressure; SpO₂, peripheral oxygen saturation; WBC, white blood cell count.</w:t>
      </w:r>
    </w:p>
    <w:p w14:paraId="32B6B357">
      <w:pPr>
        <w:pStyle w:val="2"/>
        <w:keepNext w:val="0"/>
        <w:keepLines w:val="0"/>
        <w:widowControl/>
        <w:suppressLineNumbers w:val="0"/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36883"/>
    <w:rsid w:val="09B919D2"/>
    <w:rsid w:val="0FB07331"/>
    <w:rsid w:val="23E36883"/>
    <w:rsid w:val="3CD13E73"/>
    <w:rsid w:val="51A72728"/>
    <w:rsid w:val="71C6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1532</Characters>
  <Lines>0</Lines>
  <Paragraphs>0</Paragraphs>
  <TotalTime>13</TotalTime>
  <ScaleCrop>false</ScaleCrop>
  <LinksUpToDate>false</LinksUpToDate>
  <CharactersWithSpaces>1727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2026-04-26T12:49:00Z</dcterms:created>
  <dc:creator>朱悦</dc:creator>
  <cp:lastModifiedBy>朱悦</cp:lastModifiedBy>
  <dcterms:modified xsi:type="dcterms:W3CDTF">2026-06-15T18:12:19Z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804BDF6CE278474898A89EE8F989C130_11</vt:lpwstr>
  </property>
  <property fmtid="{D5CDD505-2E9C-101B-9397-08002B2CF9AE}" pid="4" name="KSOTemplateDocerSaveRecord">
    <vt:lpwstr>eyJoZGlkIjoiOWZkOWUzYjBiYTU2NzhiNTFmODQxZDRjM2UwYmYyMDEiLCJ1c2VySWQiOiIxNjQwMjYxMjgxIn0=</vt:lpwstr>
  </property>
</Properties>
</file>